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6357" w14:textId="65369D0A" w:rsidR="00635D7F" w:rsidRDefault="00635D7F" w:rsidP="00635D7F">
      <w:pPr>
        <w:pStyle w:val="Heading1"/>
        <w:spacing w:before="0"/>
      </w:pPr>
      <w:r>
        <w:rPr>
          <w:caps w:val="0"/>
          <w:noProof/>
        </w:rPr>
        <w:drawing>
          <wp:anchor distT="0" distB="0" distL="114300" distR="114300" simplePos="0" relativeHeight="251658240" behindDoc="1" locked="0" layoutInCell="1" allowOverlap="1" wp14:anchorId="2B436143" wp14:editId="18B8D9A3">
            <wp:simplePos x="0" y="0"/>
            <wp:positionH relativeFrom="column">
              <wp:posOffset>2540</wp:posOffset>
            </wp:positionH>
            <wp:positionV relativeFrom="paragraph">
              <wp:posOffset>161925</wp:posOffset>
            </wp:positionV>
            <wp:extent cx="530225" cy="552450"/>
            <wp:effectExtent l="0" t="0" r="3175" b="0"/>
            <wp:wrapTight wrapText="bothSides">
              <wp:wrapPolygon edited="0">
                <wp:start x="0" y="0"/>
                <wp:lineTo x="0" y="20855"/>
                <wp:lineTo x="20953" y="20855"/>
                <wp:lineTo x="20953"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39823" t="26009" r="38938" b="51569"/>
                    <a:stretch/>
                  </pic:blipFill>
                  <pic:spPr bwMode="auto">
                    <a:xfrm>
                      <a:off x="0" y="0"/>
                      <a:ext cx="53022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FBC967" w14:textId="1B6A15FA" w:rsidR="00F613DF" w:rsidRPr="00635D7F" w:rsidRDefault="00635D7F" w:rsidP="00635D7F">
      <w:pPr>
        <w:pStyle w:val="Title"/>
        <w:rPr>
          <w:color w:val="262626"/>
          <w:sz w:val="36"/>
          <w:szCs w:val="36"/>
        </w:rPr>
      </w:pPr>
      <w:r w:rsidRPr="00635D7F">
        <w:rPr>
          <w:color w:val="262626"/>
          <w:sz w:val="36"/>
          <w:szCs w:val="36"/>
        </w:rPr>
        <w:t>Seven-minute briefing</w:t>
      </w:r>
    </w:p>
    <w:p w14:paraId="20814DF8" w14:textId="04222D2A" w:rsidR="00F613DF" w:rsidRDefault="00F613DF" w:rsidP="00F613DF">
      <w:r>
        <w:t>Adult Carers and</w:t>
      </w:r>
      <w:r>
        <w:t xml:space="preserve"> </w:t>
      </w:r>
      <w:r>
        <w:t>Young Carers of</w:t>
      </w:r>
      <w:r>
        <w:t xml:space="preserve"> </w:t>
      </w:r>
      <w:r w:rsidR="00CE1596">
        <w:t>T</w:t>
      </w:r>
      <w:r>
        <w:t xml:space="preserve">erminally </w:t>
      </w:r>
      <w:r w:rsidR="00CE1596">
        <w:t>I</w:t>
      </w:r>
      <w:r w:rsidR="00635D7F">
        <w:t>ll</w:t>
      </w:r>
      <w:r>
        <w:t xml:space="preserve"> </w:t>
      </w:r>
      <w:r>
        <w:t>Persons</w:t>
      </w:r>
      <w:r>
        <w:t xml:space="preserve"> </w:t>
      </w:r>
      <w:r>
        <w:t>Regulations 2021</w:t>
      </w:r>
    </w:p>
    <w:p w14:paraId="188635BC" w14:textId="77777777" w:rsidR="00635D7F" w:rsidRPr="00F613DF" w:rsidRDefault="00635D7F" w:rsidP="00F613DF"/>
    <w:p w14:paraId="411FD4CE" w14:textId="1FB35424" w:rsidR="006F35A8" w:rsidRPr="00F613DF" w:rsidRDefault="00635D7F" w:rsidP="00F613DF">
      <w:pPr>
        <w:pStyle w:val="Heading2"/>
      </w:pPr>
      <w:r>
        <mc:AlternateContent>
          <mc:Choice Requires="wps">
            <w:drawing>
              <wp:inline distT="0" distB="0" distL="0" distR="0" wp14:anchorId="25C04DCC" wp14:editId="654157E5">
                <wp:extent cx="389358" cy="113686"/>
                <wp:effectExtent l="0" t="0" r="0" b="635"/>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086E22" id="Rectangle 28"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UalAIAAIYFAAAOAAAAZHJzL2Uyb0RvYy54bWysVEtv2zAMvg/YfxB0X22nj7VBnSJrkWFA&#10;0RZth54VWYoNyKJGKXGyXz9KdtwndhiWgyOK5EfyE8nzi21r2Eahb8CWvDjIOVNWQtXYVcl/Pi6+&#10;nHLmg7CVMGBVyXfK84vZ50/nnZuqCdRgKoWMQKyfdq7kdQhummVe1qoV/gCcsqTUgK0IJOIqq1B0&#10;hN6abJLnJ1kHWDkEqbyn26teyWcJX2slw63WXgVmSk65hfTF9F3GbzY7F9MVClc3ckhD/EMWrWgs&#10;BR2hrkQQbI3NO6i2kQgedDiQ0GagdSNVqoGqKfI31TzUwqlUC5Hj3UiT/3+w8mZzh6ypSj6hl7Ki&#10;pTe6J9aEXRnF6I4I6pyfkt2Du8NB8nSM1W41tvGf6mDbROpuJFVtA5N0eXh6dnhM2JJURXF4cnoS&#10;MbNnZ4c+fFfQsngoOVL0RKXYXPvQm+5NYiwPpqkWjTFJwNXy0iDbiPi++bd8kZ6U0F+ZGRuNLUS3&#10;HjHeZLGwvpR0Cjujop2x90oTJ5T8JGWSulGNcYSUyoaiV9WiUn3445x+Q22jR6o0AUZkTfFH7AEg&#10;dvp77D7LwT66qtTMo3P+t8R659EjRQYbRue2sYAfARiqaojc2+9J6qmJLC2h2lHHIPSj5J1cNPRu&#10;18KHO4E0OzRltA/CLX20ga7kMJw4qwF/f3Qf7amlSctZR7NYcv9rLVBxZn5Yavaz4ugoDm8Sjo6/&#10;TkjAl5rlS41dt5dA7VDQ5nEyHaN9MPujRmifaG3MY1RSCSspdsllwL1wGfodQYtHqvk8mdHAOhGu&#10;7YOTETyyGvvycfsk0A3NG6jrb2A/t2L6pod72+hpYb4OoJvU4M+8DnzTsKfGGRZT3CYv5WT1vD5n&#10;fwAAAP//AwBQSwMEFAAGAAgAAAAhALKE/5HbAAAAAwEAAA8AAABkcnMvZG93bnJldi54bWxMj8FO&#10;wzAQRO9I/QdrK3GjTkEqkMapqkZcKBzacujRjZck1F5HttsGvp6FC1xGWs1o5m2xGJwVZwyx86Rg&#10;OslAINXedNQoeNs93TyAiEmT0dYTKvjECItydFXo3PgLbfC8TY3gEoq5VtCm1OdSxrpFp+PE90js&#10;vfvgdOIzNNIEfeFyZ+Vtls2k0x3xQqt7XLVYH7cnp6B6tvYr7avgdln1uu5xvXr5CEpdj4flHETC&#10;If2F4Qef0aFkpoM/kYnCKuBH0q+yN5vegThw5v4RZFnI/+zlNwAAAP//AwBQSwECLQAUAAYACAAA&#10;ACEAtoM4kv4AAADhAQAAEwAAAAAAAAAAAAAAAAAAAAAAW0NvbnRlbnRfVHlwZXNdLnhtbFBLAQIt&#10;ABQABgAIAAAAIQA4/SH/1gAAAJQBAAALAAAAAAAAAAAAAAAAAC8BAABfcmVscy8ucmVsc1BLAQIt&#10;ABQABgAIAAAAIQD8GaUalAIAAIYFAAAOAAAAAAAAAAAAAAAAAC4CAABkcnMvZTJvRG9jLnhtbFBL&#10;AQItABQABgAIAAAAIQCyhP+R2wAAAAMBAAAPAAAAAAAAAAAAAAAAAO4EAABkcnMvZG93bnJldi54&#10;bWxQSwUGAAAAAAQABADzAAAA9gUAAAAA&#10;" fillcolor="#00b0f0" stroked="f" strokeweight="1pt">
                <w10:anchorlock/>
              </v:rect>
            </w:pict>
          </mc:Fallback>
        </mc:AlternateContent>
      </w:r>
      <w:r>
        <w:t xml:space="preserve"> </w:t>
      </w:r>
      <w:r w:rsidR="00F613DF" w:rsidRPr="00F613DF">
        <w:t xml:space="preserve">one: </w:t>
      </w:r>
      <w:r w:rsidR="00F613DF" w:rsidRPr="00635D7F">
        <w:t>BACKGROUND</w:t>
      </w:r>
    </w:p>
    <w:p w14:paraId="2DA1E29A" w14:textId="667911AF" w:rsidR="00F613DF" w:rsidRDefault="00CC3214" w:rsidP="00F613DF">
      <w:hyperlink r:id="rId9" w:history="1">
        <w:r w:rsidR="00F613DF" w:rsidRPr="00CC3214">
          <w:rPr>
            <w:rStyle w:val="Hyperlink"/>
          </w:rPr>
          <w:t>The Carers (Scotland) Act 2016</w:t>
        </w:r>
      </w:hyperlink>
      <w:r w:rsidR="00F613DF">
        <w:t xml:space="preserve"> (Adult Carers and Young Carers of</w:t>
      </w:r>
      <w:r w:rsidR="00F613DF">
        <w:t xml:space="preserve"> </w:t>
      </w:r>
      <w:r w:rsidR="00F613DF">
        <w:t>Terminally Ill Persons: Timescales for Adult Carer Support Plans and Young</w:t>
      </w:r>
      <w:r w:rsidR="00F613DF">
        <w:t xml:space="preserve"> </w:t>
      </w:r>
      <w:r w:rsidR="00F613DF">
        <w:t>Carer Statements etc.) Regulations 2021 outlines timescales for offering and</w:t>
      </w:r>
      <w:r w:rsidR="00F613DF">
        <w:t xml:space="preserve"> </w:t>
      </w:r>
      <w:r w:rsidR="00F613DF">
        <w:t>completing an Adult Carers Support Plan (ACSP) and Young Carers</w:t>
      </w:r>
      <w:r w:rsidR="00F613DF">
        <w:t xml:space="preserve"> </w:t>
      </w:r>
      <w:r w:rsidR="00F613DF">
        <w:t xml:space="preserve">Statements (YCS) comes into effect from 31st July 2021. </w:t>
      </w:r>
      <w:r>
        <w:t xml:space="preserve">This briefing outlines the key responsibilities and operational changes outlined within the regulations accompanying statutory guidance, </w:t>
      </w:r>
      <w:hyperlink r:id="rId10" w:history="1">
        <w:r w:rsidR="00F613DF" w:rsidRPr="00CC3214">
          <w:rPr>
            <w:rStyle w:val="Hyperlink"/>
          </w:rPr>
          <w:t>The Carers (Scotland) Act 2016, Statutory Guidance</w:t>
        </w:r>
        <w:r w:rsidR="00F613DF" w:rsidRPr="00CC3214">
          <w:rPr>
            <w:rStyle w:val="Hyperlink"/>
          </w:rPr>
          <w:t xml:space="preserve"> </w:t>
        </w:r>
        <w:r w:rsidR="00F613DF" w:rsidRPr="00CC3214">
          <w:rPr>
            <w:rStyle w:val="Hyperlink"/>
          </w:rPr>
          <w:t>(See 2.1.90 to 2.1.103 and 2.2.123 to 2.2.136).</w:t>
        </w:r>
      </w:hyperlink>
      <w:r w:rsidR="00F613DF">
        <w:t xml:space="preserve"> </w:t>
      </w:r>
    </w:p>
    <w:p w14:paraId="6BE31A7F" w14:textId="77777777" w:rsidR="00635D7F" w:rsidRDefault="00635D7F" w:rsidP="00F613DF"/>
    <w:p w14:paraId="694D77FB" w14:textId="3DAFAA0B" w:rsidR="00F613DF" w:rsidRDefault="00635D7F" w:rsidP="00F613DF">
      <w:pPr>
        <w:pStyle w:val="Heading2"/>
      </w:pPr>
      <w:r>
        <mc:AlternateContent>
          <mc:Choice Requires="wps">
            <w:drawing>
              <wp:inline distT="0" distB="0" distL="0" distR="0" wp14:anchorId="187158FD" wp14:editId="30A0207A">
                <wp:extent cx="389358" cy="113686"/>
                <wp:effectExtent l="0" t="0" r="0" b="635"/>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9AD728" id="Rectangle 29"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IolwIAAIYFAAAOAAAAZHJzL2Uyb0RvYy54bWysVE1v2zAMvQ/YfxB0Xx0nbdcGdYogRYcB&#10;RVu0HXpWZCkWIIuapMTJfv0oyXY/VuwwLAdFFMlH8pnkxeW+1WQnnFdgKloeTSgRhkOtzKaiP56u&#10;v5xR4gMzNdNgREUPwtPLxedPF52diyk0oGvhCIIYP+9sRZsQ7LwoPG9Ey/wRWGFQKcG1LKDoNkXt&#10;WIforS6mk8lp0YGrrQMuvMfXq6yki4QvpeDhTkovAtEVxdxCOl061/EsFhdsvnHMNor3abB/yKJl&#10;ymDQEeqKBUa2Tv0B1SruwIMMRxzaAqRUXKQasJpy8q6ax4ZZkWpBcrwdafL/D5bf7u4dUXVFp+eU&#10;GNbiN3pA1pjZaEHwDQnqrJ+j3aO9d73k8Rqr3UvXxn+sg+wTqYeRVLEPhOPj7Ox8doJdwFFVlrPT&#10;s9OIWbw4W+fDNwEtiZeKOoyeqGS7Gx+y6WASY3nQqr5WWifBbdYr7ciO4fedzVb469HfmGkTjQ1E&#10;t4wYX4pYWC4l3cJBi2inzYOQyAkmP02ZpG4UYxzGuTChzKqG1SKHP5ngb4ge+zd6pEoTYESWGH/E&#10;7gEGywwyYOcse/voKlIzj86TvyWWnUePFBlMGJ1bZcB9BKCxqj5yth9IytREltZQH7BjHORR8pZf&#10;K/xuN8yHe+ZwdnDKcB+EOzykhq6i0N8oacD9+ug92mNLo5aSDmexov7nljlBif5usNnPy+PjOLxJ&#10;OD75OkXBvdasX2vMtl0BtkOJm8fydI32QQ9X6aB9xrWxjFFRxQzH2BXlwQ3CKuQdgYuHi+UymeHA&#10;WhZuzKPlETyyGvvyaf/MnO2bN2DX38Iwt2z+roezbfQ0sNwGkCo1+AuvPd847Klx+sUUt8lrOVm9&#10;rM/FbwAAAP//AwBQSwMEFAAGAAgAAAAhAOoxE83XAAAAAwEAAA8AAABkcnMvZG93bnJldi54bWxM&#10;j8FOwzAQRO9I/IO1SNyokxAFCHEqhNQLNwoS1228JFHjdWq7bfh7Fi5wGWk1o5m3zXpxkzpRiKNn&#10;A/kqA0XceTtyb+D9bXNzDyomZIuTZzLwRRHW7eVFg7X1Z36l0zb1Sko41mhgSGmutY7dQA7jys/E&#10;4n364DDJGXptA56l3E26yLJKOxxZFgac6Xmgbr89OgOBQmmrj8LRvjh05WFT5i9Facz11fL0CCrR&#10;kv7C8IMv6NAK084f2UY1GZBH0q+KV+W3oHaSuXsA3Tb6P3v7DQAA//8DAFBLAQItABQABgAIAAAA&#10;IQC2gziS/gAAAOEBAAATAAAAAAAAAAAAAAAAAAAAAABbQ29udGVudF9UeXBlc10ueG1sUEsBAi0A&#10;FAAGAAgAAAAhADj9If/WAAAAlAEAAAsAAAAAAAAAAAAAAAAALwEAAF9yZWxzLy5yZWxzUEsBAi0A&#10;FAAGAAgAAAAhAKx0siiXAgAAhgUAAA4AAAAAAAAAAAAAAAAALgIAAGRycy9lMm9Eb2MueG1sUEsB&#10;Ai0AFAAGAAgAAAAhAOoxE83XAAAAAwEAAA8AAAAAAAAAAAAAAAAA8QQAAGRycy9kb3ducmV2Lnht&#10;bFBLBQYAAAAABAAEAPMAAAD1BQAAAAA=&#10;" fillcolor="#3cc" stroked="f" strokeweight="1pt">
                <w10:anchorlock/>
              </v:rect>
            </w:pict>
          </mc:Fallback>
        </mc:AlternateContent>
      </w:r>
      <w:r>
        <w:t xml:space="preserve"> </w:t>
      </w:r>
      <w:r w:rsidR="00F613DF">
        <w:t>TWO: TIMESCALES</w:t>
      </w:r>
    </w:p>
    <w:p w14:paraId="507229E0" w14:textId="027C63DD" w:rsidR="00F613DF" w:rsidRDefault="00F613DF" w:rsidP="00F613DF">
      <w:r>
        <w:t xml:space="preserve">Once an authority identifies a </w:t>
      </w:r>
      <w:proofErr w:type="spellStart"/>
      <w:r>
        <w:t>carer</w:t>
      </w:r>
      <w:proofErr w:type="spellEnd"/>
      <w:r>
        <w:t xml:space="preserve"> of someone who is terminally ill</w:t>
      </w:r>
      <w:r w:rsidRPr="00CC3214">
        <w:rPr>
          <w:rStyle w:val="Strong"/>
        </w:rPr>
        <w:t>*</w:t>
      </w:r>
      <w:r>
        <w:t>, the authority must offer that carer an ACSP/ YCS within two working days. If the authority cannot do this within 2 working days, due to unforeseen circumstances, they must make the offer as soon as reasonably practicable</w:t>
      </w:r>
      <w:r w:rsidRPr="00635D7F">
        <w:rPr>
          <w:rStyle w:val="Strong"/>
        </w:rPr>
        <w:t>**</w:t>
      </w:r>
    </w:p>
    <w:p w14:paraId="1CBD1B71" w14:textId="77777777" w:rsidR="00635D7F" w:rsidRDefault="00635D7F" w:rsidP="00F613DF"/>
    <w:p w14:paraId="5F7714E5" w14:textId="171B2DFB" w:rsidR="00F613DF" w:rsidRDefault="00635D7F" w:rsidP="00F613DF">
      <w:pPr>
        <w:pStyle w:val="Heading2"/>
      </w:pPr>
      <w:r>
        <mc:AlternateContent>
          <mc:Choice Requires="wps">
            <w:drawing>
              <wp:inline distT="0" distB="0" distL="0" distR="0" wp14:anchorId="67A64ADF" wp14:editId="3ED953CF">
                <wp:extent cx="389358" cy="113686"/>
                <wp:effectExtent l="0" t="0" r="0" b="635"/>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12FFC1" id="Rectangle 30"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8klQIAAIYFAAAOAAAAZHJzL2Uyb0RvYy54bWysVFFP2zAQfp+0/2D5fSRpKYOKFFUgpkkI&#10;EDDx7Dp2E8nxeWe3affrd3bSwADtYVofXNt3993dl893frFrDdsq9A3YkhdHOWfKSqgauy75j6fr&#10;L6ec+SBsJQxYVfK98vxi8fnTeefmagI1mEohIxDr550reR2Cm2eZl7VqhT8CpywZNWArAh1xnVUo&#10;OkJvTTbJ85OsA6wcglTe0+1Vb+SLhK+1kuFOa68CMyWn2kJaMa2ruGaLczFfo3B1I4cyxD9U0YrG&#10;UtIR6koEwTbYvINqG4ngQYcjCW0GWjdSpR6omyJ/081jLZxKvRA53o00+f8HK2+398iaquRToseK&#10;lr7RA7Em7NooRndEUOf8nPwe3T0OJ0/b2O1OYxv/qQ+2S6TuR1LVLjBJl9PTs+mMVCDJVBTTk9OT&#10;iJm9BDv04ZuClsVNyZGyJyrF9saH3vXgEnN5ME113RiTDrheXRpkW0Hf92xylc9SxYT+h5ux0dlC&#10;DOsR400WG+tbSbuwNyr6GfugNHFCxU9SJUmNaswjpFQ2FL2pFpXq089y+g29jRGp0wQYkTXlH7EH&#10;gKj099h9lYN/DFVJzGNw/rfC+uAxImUGG8bgtrGAHwEY6mrI3PsfSOqpiSytoNqTYhD6p+SdvG7o&#10;u90IH+4F0tshGdE8CHe0aANdyWHYcVYD/vroPvqTpMnKWUdvseT+50ag4sx8tyT2s+L4OD7edDie&#10;fZ3QAV9bVq8tdtNeAsmhoMnjZNpG/2AOW43QPtPYWMasZBJWUu6Sy4CHw2XoZwQNHqmWy+RGD9aJ&#10;cGMfnYzgkdWoy6fds0A3iDeQ6m/h8G7F/I2Ge98YaWG5CaCbJPAXXge+6bEn4QyDKU6T1+fk9TI+&#10;F78BAAD//wMAUEsDBBQABgAIAAAAIQBLAzaB2QAAAAMBAAAPAAAAZHJzL2Rvd25yZXYueG1sTI/N&#10;bsIwEITvlXgHa5F6Kw5tBW2Ig9pI7bUi8AAm3vyIeB1sA6FP320v5TLSakYz32br0fbijD50jhTM&#10;ZwkIpMqZjhoFu+3HwwuIEDUZ3TtCBVcMsM4nd5lOjbvQBs9lbASXUEi1gjbGIZUyVC1aHWZuQGKv&#10;dt7qyKdvpPH6wuW2l49JspBWd8QLrR6waLE6lCeroC6Sr89NOA6Hb/kcKl8Xy/drqdT9dHxbgYg4&#10;xv8w/OIzOuTMtHcnMkH0CviR+KfsLeZPIPacWb6CzDN5y57/AAAA//8DAFBLAQItABQABgAIAAAA&#10;IQC2gziS/gAAAOEBAAATAAAAAAAAAAAAAAAAAAAAAABbQ29udGVudF9UeXBlc10ueG1sUEsBAi0A&#10;FAAGAAgAAAAhADj9If/WAAAAlAEAAAsAAAAAAAAAAAAAAAAALwEAAF9yZWxzLy5yZWxzUEsBAi0A&#10;FAAGAAgAAAAhAKsUHySVAgAAhgUAAA4AAAAAAAAAAAAAAAAALgIAAGRycy9lMm9Eb2MueG1sUEsB&#10;Ai0AFAAGAAgAAAAhAEsDNoHZAAAAAwEAAA8AAAAAAAAAAAAAAAAA7wQAAGRycy9kb3ducmV2Lnht&#10;bFBLBQYAAAAABAAEAPMAAAD1BQAAAAA=&#10;" fillcolor="#92d050" stroked="f" strokeweight="1pt">
                <w10:anchorlock/>
              </v:rect>
            </w:pict>
          </mc:Fallback>
        </mc:AlternateContent>
      </w:r>
      <w:r>
        <w:t xml:space="preserve"> </w:t>
      </w:r>
      <w:r w:rsidR="00F613DF">
        <w:t>THREE: NOTIFICATION DATE</w:t>
      </w:r>
    </w:p>
    <w:p w14:paraId="3C7D0754" w14:textId="1DD27679" w:rsidR="00F613DF" w:rsidRDefault="00F613DF" w:rsidP="00F613DF">
      <w:r>
        <w:t>The ‘Notification date’ is the date which the carer accepts an offer to prepare ACSP/YCS. The ‘Substantive conversation’ must take place within 5 working days (or any other date as requested by the carer) of the notification date.</w:t>
      </w:r>
    </w:p>
    <w:p w14:paraId="2E17D12E" w14:textId="77777777" w:rsidR="00635D7F" w:rsidRDefault="00635D7F" w:rsidP="00F613DF"/>
    <w:p w14:paraId="75AFB1D9" w14:textId="08BFC2B0" w:rsidR="00F613DF" w:rsidRDefault="00635D7F" w:rsidP="00F613DF">
      <w:pPr>
        <w:pStyle w:val="Heading2"/>
      </w:pPr>
      <w:r>
        <mc:AlternateContent>
          <mc:Choice Requires="wps">
            <w:drawing>
              <wp:inline distT="0" distB="0" distL="0" distR="0" wp14:anchorId="29DE4738" wp14:editId="55F84797">
                <wp:extent cx="389358" cy="113686"/>
                <wp:effectExtent l="0" t="0" r="0" b="635"/>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2759A" id="Rectangle 31"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EWkwIAAIYFAAAOAAAAZHJzL2Uyb0RvYy54bWysVN9P2zAQfp+0/8Hy+0jSAoOKFFWgTpMQ&#10;IGDi2XXsJpLj885u0+6v39lJAwO0h2l5cGzf3Xc//N1dXO5aw7YKfQO25MVRzpmyEqrGrkv+42n5&#10;5YwzH4SthAGrSr5Xnl/OP3+66NxMTaAGUylkBGL9rHMlr0Nwsyzzslat8EfglCWhBmxFoCOuswpF&#10;R+itySZ5fpp1gJVDkMp7ur3uhXye8LVWMtxp7VVgpuQUW0grpnUV12x+IWZrFK5u5BCG+IcoWtFY&#10;cjpCXYsg2Aabd1BtIxE86HAkoc1A60aqlANlU+RvsnmshVMpFyqOd2OZ/P+Dlbfbe2RNVfJpwZkV&#10;Lb3RA1VN2LVRjO6oQJ3zM9J7dPc4nDxtY7Y7jW38Ux5sl4q6H4uqdoFJupyenU9PiAWSREUxPT07&#10;jZjZi7FDH74paFnclBzJeyql2N740KseVKIvD6aplo0x6YDr1ZVBthX0vkv68vSkhP6HmrFR2UI0&#10;6xHjTRYT61NJu7A3KuoZ+6A01YSCn6RIEhvV6EdIqWwoelEtKtW7P8npG3IbLVKmCTAia/I/Yg8A&#10;kenvsfsoB/1oqhKZR+P8b4H1xqNF8gw2jMZtYwE/AjCU1eC51z8UqS9NrNIKqj0xBqFvJe/ksqF3&#10;uxE+3Auk3qEuo3kQ7mjRBrqSw7DjrAb89dF91CdKk5Szjnqx5P7nRqDizHy3RPbz4vg4Nm86HJ98&#10;ndABX0tWryV2014B0YH4TNGlbdQP5rDVCO0zjY1F9EoiYSX5LrkMeDhchX5G0OCRarFIatSwToQb&#10;++hkBI9Vjbx82j0LdAN5A7H+Fg59K2ZvONzrRksLi00A3SSCv9R1qDc1eyLOMJjiNHl9Tlov43P+&#10;GwAA//8DAFBLAwQUAAYACAAAACEAtxoANNkAAAADAQAADwAAAGRycy9kb3ducmV2LnhtbEyPTUvD&#10;QBCG74L/YRnBS7CbVulHzKaIoGdNxV6n2WkSmp0N2W2b/ntHL/UyMLwvzzyTr0fXqRMNofVsYDpJ&#10;QRFX3rZcG/javD0sQYWIbLHzTAYuFGBd3N7kmFl/5k86lbFWAuGQoYEmxj7TOlQNOQwT3xNLtveD&#10;wyjrUGs74FngrtOzNJ1rhy3LhQZ7em2oOpRHJ5SPEg/lPmw3y0XSxtlTcvl+T4y5vxtfnkFFGuO1&#10;DL/6og6FOO38kW1QnQF5JP5NyebTR1A76SxWoItc/3cvfgAAAP//AwBQSwECLQAUAAYACAAAACEA&#10;toM4kv4AAADhAQAAEwAAAAAAAAAAAAAAAAAAAAAAW0NvbnRlbnRfVHlwZXNdLnhtbFBLAQItABQA&#10;BgAIAAAAIQA4/SH/1gAAAJQBAAALAAAAAAAAAAAAAAAAAC8BAABfcmVscy8ucmVsc1BLAQItABQA&#10;BgAIAAAAIQD4dWEWkwIAAIYFAAAOAAAAAAAAAAAAAAAAAC4CAABkcnMvZTJvRG9jLnhtbFBLAQIt&#10;ABQABgAIAAAAIQC3GgA02QAAAAMBAAAPAAAAAAAAAAAAAAAAAO0EAABkcnMvZG93bnJldi54bWxQ&#10;SwUGAAAAAAQABADzAAAA8wUAAAAA&#10;" fillcolor="yellow" stroked="f" strokeweight="1pt">
                <w10:anchorlock/>
              </v:rect>
            </w:pict>
          </mc:Fallback>
        </mc:AlternateContent>
      </w:r>
      <w:r>
        <w:t xml:space="preserve"> </w:t>
      </w:r>
      <w:r w:rsidR="00F613DF">
        <w:t xml:space="preserve">FOUR: </w:t>
      </w:r>
      <w:r w:rsidR="00F613DF">
        <w:t>SUBSTANTIVE CONVERSATION</w:t>
      </w:r>
    </w:p>
    <w:p w14:paraId="65EF0C4B" w14:textId="62C0A7A7" w:rsidR="00F613DF" w:rsidRDefault="00F613DF" w:rsidP="00F613DF">
      <w:r>
        <w:t>The ‘Substantive Conversation’ is the first conversation which the responsible local authority has with a relevant adult carer. Any immediate or urgent personal outcomes and needs for support in relation to an adult carer of a cared-for person who is terminally ill are identified during the first conversation.</w:t>
      </w:r>
    </w:p>
    <w:p w14:paraId="13EC989F" w14:textId="77777777" w:rsidR="00635D7F" w:rsidRDefault="00635D7F" w:rsidP="00F613DF"/>
    <w:p w14:paraId="0A65191C" w14:textId="3F9C9EDF" w:rsidR="00F613DF" w:rsidRDefault="00635D7F" w:rsidP="00F613DF">
      <w:pPr>
        <w:pStyle w:val="Heading2"/>
      </w:pPr>
      <w:r>
        <mc:AlternateContent>
          <mc:Choice Requires="wps">
            <w:drawing>
              <wp:inline distT="0" distB="0" distL="0" distR="0" wp14:anchorId="54BBF7A2" wp14:editId="28288D39">
                <wp:extent cx="389358" cy="113686"/>
                <wp:effectExtent l="0" t="0" r="0" b="635"/>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CB8BB1" id="Rectangle 32"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OcmAIAAIYFAAAOAAAAZHJzL2Uyb0RvYy54bWysVE1v2zAMvQ/YfxB0X20nbdcGdYogRYYB&#10;RRu0HXpWZCk2IIuapMTJfv0oyXY/Vuww7CKLIvlIPpO8uj60iuyFdQ3okhYnOSVCc6gavS3pj6fV&#10;lwtKnGe6Ygq0KOlROHo9//zpqjMzMYEaVCUsQRDtZp0pae29mWWZ47VomTsBIzQqJdiWeRTtNqss&#10;6xC9Vdkkz8+zDmxlLHDhHL7eJCWdR3wpBff3UjrhiSop5ubjaeO5CWc2v2KzrWWmbnifBvuHLFrW&#10;aAw6Qt0wz8jONn9AtQ234ED6Ew5tBlI2XMQasJoif1fNY82MiLUgOc6MNLn/B8vv9mtLmqqk0wkl&#10;mrX4jx6QNaa3ShB8Q4I642Zo92jWtpccXkO1B2nb8MU6yCGSehxJFQdPOD5OLy6nZ9gFHFVFMT2/&#10;OA+Y2Yuzsc5/E9CScCmpxeiRSra/dT6ZDiYhlgPVVKtGqSjY7WapLNkz/L+r1TLP4y9F9DdmSgdj&#10;DcEtIYaXLBSWSok3f1Qi2Cn9ICRygslPYiaxG8UYh3EutC+SqmaVSOHPMPgYPfRv8IiVRsCALDH+&#10;iN0DDJYJZMBOWfb2wVXEZh6d878llpxHjxgZtB+d20aD/QhAYVV95GQ/kJSoCSxtoDpix1hIo+QM&#10;XzX4326Z82tmcXZwynAf+Hs8pIKupNDfKKnB/vroPdhjS6OWkg5nsaTu545ZQYn6rrHZL4vT0zC8&#10;UTg9+zpBwb7WbF5r9K5dArZDgZvH8HgN9l4NV2mhfca1sQhRUcU0x9gl5d4OwtKnHYGLh4vFIprh&#10;wBrmb/Wj4QE8sBr68unwzKzpm9dj19/BMLds9q6Hk23w1LDYeZBNbPAXXnu+cdhj4/SLKWyT13K0&#10;elmf898AAAD//wMAUEsDBBQABgAIAAAAIQC+f/Hd2wAAAAMBAAAPAAAAZHJzL2Rvd25yZXYueG1s&#10;TI9BS8QwEIXvgv8hjOBF3LQq61qbLrKwIB5kXT3sMU3GprSZlCbdrf/e0YteHgzv8d435Xr2vTji&#10;GNtACvJFBgLJBNtSo+DjfXu9AhGTJqv7QKjgCyOsq/OzUhc2nOgNj/vUCC6hWGgFLqWhkDIah17H&#10;RRiQ2PsMo9eJz7GRdtQnLve9vMmypfS6JV5wesCNQ9PtJ6+g2109372+yMOmnjq3zQ6mW+VGqcuL&#10;+ekRRMI5/YXhB5/RoWKmOkxko+gV8CPpV9lb5rcgas7cP4CsSvmfvfoGAAD//wMAUEsBAi0AFAAG&#10;AAgAAAAhALaDOJL+AAAA4QEAABMAAAAAAAAAAAAAAAAAAAAAAFtDb250ZW50X1R5cGVzXS54bWxQ&#10;SwECLQAUAAYACAAAACEAOP0h/9YAAACUAQAACwAAAAAAAAAAAAAAAAAvAQAAX3JlbHMvLnJlbHNQ&#10;SwECLQAUAAYACAAAACEA237DnJgCAACGBQAADgAAAAAAAAAAAAAAAAAuAgAAZHJzL2Uyb0RvYy54&#10;bWxQSwECLQAUAAYACAAAACEAvn/x3dsAAAADAQAADwAAAAAAAAAAAAAAAADyBAAAZHJzL2Rvd25y&#10;ZXYueG1sUEsFBgAAAAAEAAQA8wAAAPoFAAAAAA==&#10;" fillcolor="#ffc000" stroked="f" strokeweight="1pt">
                <w10:anchorlock/>
              </v:rect>
            </w:pict>
          </mc:Fallback>
        </mc:AlternateContent>
      </w:r>
      <w:r>
        <w:t xml:space="preserve"> </w:t>
      </w:r>
      <w:r w:rsidR="00F613DF">
        <w:t xml:space="preserve">FIVE: </w:t>
      </w:r>
      <w:r w:rsidR="00F613DF">
        <w:t>TIMESCALE FOR COMPLETION &amp; CARER CHOICE</w:t>
      </w:r>
    </w:p>
    <w:p w14:paraId="678C736C" w14:textId="5C1A589F" w:rsidR="00F613DF" w:rsidRDefault="00F613DF" w:rsidP="00F613DF">
      <w:r>
        <w:t xml:space="preserve">Where the substantive conversation takes place within 5 days of the notification date then the ACSP/YCS must be prepared within 10 working days of the notification date. (Note: If a carer specifies a date out with the </w:t>
      </w:r>
      <w:proofErr w:type="gramStart"/>
      <w:r>
        <w:t>5 day</w:t>
      </w:r>
      <w:proofErr w:type="gramEnd"/>
      <w:r>
        <w:t xml:space="preserve"> period a new timescale applies – see Regs section 5 (2)(b) &amp; 5(3)</w:t>
      </w:r>
    </w:p>
    <w:p w14:paraId="79C6BB67" w14:textId="77777777" w:rsidR="00635D7F" w:rsidRDefault="00635D7F" w:rsidP="00F613DF"/>
    <w:p w14:paraId="3799B073" w14:textId="7687AF0B" w:rsidR="00F613DF" w:rsidRDefault="00635D7F" w:rsidP="00F613DF">
      <w:pPr>
        <w:pStyle w:val="Heading2"/>
      </w:pPr>
      <w:r>
        <mc:AlternateContent>
          <mc:Choice Requires="wps">
            <w:drawing>
              <wp:inline distT="0" distB="0" distL="0" distR="0" wp14:anchorId="0081DDF5" wp14:editId="0F80A23B">
                <wp:extent cx="389358" cy="113686"/>
                <wp:effectExtent l="0" t="0" r="0" b="635"/>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0728B0" id="Rectangle 33"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nblAIAAIYFAAAOAAAAZHJzL2Uyb0RvYy54bWysVMFu2zAMvQ/YPwi6r46TtmuDOkWQosOA&#10;oivaDj0rshQbkERNUuJkXz9Kst2sK3YYloMiiuQj+Uzy6nqvFdkJ51swFS1PJpQIw6Fuzaai359v&#10;P11Q4gMzNVNgREUPwtPrxccPV52diyk0oGrhCIIYP+9sRZsQ7LwoPG+EZv4ErDColOA0Cyi6TVE7&#10;1iG6VsV0MjkvOnC1dcCF9/h6k5V0kfClFDx8k9KLQFRFMbeQTpfOdTyLxRWbbxyzTcv7NNg/ZKFZ&#10;azDoCHXDAiNb1/4BpVvuwIMMJxx0AVK2XKQasJpy8qaap4ZZkWpBcrwdafL/D5bf7x4caeuKzmaU&#10;GKbxGz0ia8xslCD4hgR11s/R7sk+uF7yeI3V7qXT8R/rIPtE6mEkVewD4fg4u7icnWEXcFSV5ez8&#10;4jxiFq/O1vnwRYAm8VJRh9ETlWx350M2HUxiLA+qrW9bpZLgNuuVcmTH8PuuJvHXo/9mpkw0NhDd&#10;MmJ8KWJhuZR0Cwclop0yj0IiJ5j8NGWSulGMcRjnwoQyqxpWixz+7Dh67N/okSpNgBFZYvwRuwcY&#10;LDPIgJ2z7O2jq0jNPDpP/pZYdh49UmQwYXTWrQH3HoDCqvrI2X4gKVMTWVpDfcCOcZBHyVt+2+J3&#10;u2M+PDCHs4NThvsgfMNDKugqCv2Nkgbcz/feoz22NGop6XAWK+p/bJkTlKivBpv9sjw9jcObhNOz&#10;z1MU3LFmfawxW70CbIcSN4/l6Rrtgxqu0oF+wbWxjFFRxQzH2BXlwQ3CKuQdgYuHi+UymeHAWhbu&#10;zJPlETyyGvvyef/CnO2bN2DX38Mwt2z+poezbfQ0sNwGkG1q8Fdee75x2FPj9IspbpNjOVm9rs/F&#10;LwAAAP//AwBQSwMEFAAGAAgAAAAhAOZgIMHaAAAAAwEAAA8AAABkcnMvZG93bnJldi54bWxMj0FL&#10;w0AQhe+C/2EZwYvYTRVqjdmUKAqCUDD20OM2Oyahu7MhO23jv3f0opcHw3u8902xmoJXRxxTH8nA&#10;fJaBQmqi66k1sPl4uV6CSmzJWR8JDXxhglV5flbY3MUTveOx5lZJCaXcGuiYh1zr1HQYbJrFAUm8&#10;zzgGy3KOrXajPUl58PomyxY62J5kobMDPnXY7OtDMODd8jE++1db7at669ZvfOU8G3N5MVUPoBgn&#10;/gvDD76gQylMu3ggl5Q3II/wr4q3mN+C2knm7h50Wej/7OU3AAAA//8DAFBLAQItABQABgAIAAAA&#10;IQC2gziS/gAAAOEBAAATAAAAAAAAAAAAAAAAAAAAAABbQ29udGVudF9UeXBlc10ueG1sUEsBAi0A&#10;FAAGAAgAAAAhADj9If/WAAAAlAEAAAsAAAAAAAAAAAAAAAAALwEAAF9yZWxzLy5yZWxzUEsBAi0A&#10;FAAGAAgAAAAhAMdoaduUAgAAhgUAAA4AAAAAAAAAAAAAAAAALgIAAGRycy9lMm9Eb2MueG1sUEsB&#10;Ai0AFAAGAAgAAAAhAOZgIMHaAAAAAwEAAA8AAAAAAAAAAAAAAAAA7gQAAGRycy9kb3ducmV2Lnht&#10;bFBLBQYAAAAABAAEAPMAAAD1BQAAAAA=&#10;" fillcolor="#c00000" stroked="f" strokeweight="1pt">
                <w10:anchorlock/>
              </v:rect>
            </w:pict>
          </mc:Fallback>
        </mc:AlternateContent>
      </w:r>
      <w:r>
        <w:t xml:space="preserve"> </w:t>
      </w:r>
      <w:r w:rsidR="00F613DF">
        <w:t>SIX:</w:t>
      </w:r>
      <w:r w:rsidR="00F613DF" w:rsidRPr="00F613DF">
        <w:t xml:space="preserve"> </w:t>
      </w:r>
      <w:r w:rsidR="00F613DF">
        <w:t>ACSP/ YCS</w:t>
      </w:r>
    </w:p>
    <w:p w14:paraId="5A8F3930" w14:textId="1C5658CF" w:rsidR="00F613DF" w:rsidRDefault="00F613DF" w:rsidP="00F613DF">
      <w:r>
        <w:t>The ACSP/YCS can be a shortened version but must cover areas set out in section 9(1)(a), (b), (e), (f), (</w:t>
      </w:r>
      <w:proofErr w:type="spellStart"/>
      <w:r>
        <w:t>i</w:t>
      </w:r>
      <w:proofErr w:type="spellEnd"/>
      <w:r>
        <w:t xml:space="preserve">) and (j) of the 2016 Act. A review date must be set and, if applicable, the remainder of information which should be in the plan under section 9 should be added. We should record support put in place </w:t>
      </w:r>
      <w:proofErr w:type="gramStart"/>
      <w:r>
        <w:t>as a result of</w:t>
      </w:r>
      <w:proofErr w:type="gramEnd"/>
      <w:r>
        <w:t xml:space="preserve"> ACSP/ YCS.</w:t>
      </w:r>
    </w:p>
    <w:p w14:paraId="04FFA30D" w14:textId="77777777" w:rsidR="00635D7F" w:rsidRDefault="00635D7F" w:rsidP="00F613DF"/>
    <w:p w14:paraId="02C88ED7" w14:textId="4E5337A0" w:rsidR="00F613DF" w:rsidRDefault="00635D7F" w:rsidP="00F613DF">
      <w:pPr>
        <w:pStyle w:val="Heading2"/>
      </w:pPr>
      <w:r>
        <mc:AlternateContent>
          <mc:Choice Requires="wps">
            <w:drawing>
              <wp:inline distT="0" distB="0" distL="0" distR="0" wp14:anchorId="6D047A60" wp14:editId="7E0BA484">
                <wp:extent cx="389358" cy="113686"/>
                <wp:effectExtent l="0" t="0" r="0" b="635"/>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9358" cy="11368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CB5E1" id="Rectangle 34" o:spid="_x0000_s1026" alt="&quot;&quot;" style="width:30.65pt;height: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oblgIAAIYFAAAOAAAAZHJzL2Uyb0RvYy54bWysVFFP2zAQfp+0/2D5fSRpC4OKFFUgpkkI&#10;EDDx7Dp2E8nxeWe3affrd3bSwADtYVofXJ/v7ru7L3d3frFrDdsq9A3YkhdHOWfKSqgauy75j6fr&#10;L6ec+SBsJQxYVfK98vxi8fnTeefmagI1mEohIxDr550reR2Cm2eZl7VqhT8CpywpNWArAom4zioU&#10;HaG3Jpvk+UnWAVYOQSrv6fWqV/JFwtdayXCntVeBmZJTbiGdmM5VPLPFuZivUbi6kUMa4h+yaEVj&#10;KegIdSWCYBts3kG1jUTwoMORhDYDrRupUg1UTZG/qeaxFk6lWogc70aa/P+Dlbfbe2RNVfLpjDMr&#10;WvpGD8SasGujGL0RQZ3zc7J7dPc4SJ6usdqdxjb+Ux1sl0jdj6SqXWCSHqenZ9Nj6gJJqqKYnpye&#10;RMzsxdmhD98UtCxeSo4UPVEptjc+9KYHkxjLg2mq68aYJOB6dWmQbQV936/5NF+mT0rof5gZG40t&#10;RLceMb5ksbC+lHQLe6OinbEPShMnlPwkZZK6UY1xhJTKhqJX1aJSffjjnH5DbaNHqjQBRmRN8Ufs&#10;ASB2+nvsPsvBPrqq1Myjc/63xHrn0SNFBhtG57axgB8BGKpqiNzbH0jqqYksraDaU8cg9KPknbxu&#10;6LvdCB/uBdLs0JTRPgh3dGgDXclhuHFWA/766D3aU0uTlrOOZrHk/udGoOLMfLfU7GfFbBaHNwmz&#10;468TEvC1ZvVaYzftJVA7FLR5nEzXaB/M4aoR2mdaG8sYlVTCSopdchnwIFyGfkfQ4pFquUxmNLBO&#10;hBv76GQEj6zGvnzaPQt0Q/MG6vpbOMytmL/p4d42elpYbgLoJjX4C68D3zTsqXGGxRS3yWs5Wb2s&#10;z8VvAAAA//8DAFBLAwQUAAYACAAAACEAiYx3etoAAAADAQAADwAAAGRycy9kb3ducmV2LnhtbEyP&#10;QUvDQBCF74L/YRnBm920lmhjNkUFvVVoFaS3aXZMotnZsLtt47937EUvD4b3eO+bcjm6Xh0oxM6z&#10;gekkA0Vce9txY+Dt9enqFlRMyBZ7z2TgmyIsq/OzEgvrj7ymwyY1Sko4FmigTWkotI51Sw7jxA/E&#10;4n344DDJGRptAx6l3PV6lmW5dtixLLQ40GNL9ddm7wyE5/d8Pq/dYhtmq+HhZb2y289kzOXFeH8H&#10;KtGY/sLwiy/oUAnTzu/ZRtUbkEfSScXLp9egdpK5WYCuSv2fvfoBAAD//wMAUEsBAi0AFAAGAAgA&#10;AAAhALaDOJL+AAAA4QEAABMAAAAAAAAAAAAAAAAAAAAAAFtDb250ZW50X1R5cGVzXS54bWxQSwEC&#10;LQAUAAYACAAAACEAOP0h/9YAAACUAQAACwAAAAAAAAAAAAAAAAAvAQAAX3JlbHMvLnJlbHNQSwEC&#10;LQAUAAYACAAAACEAQMcKG5YCAACGBQAADgAAAAAAAAAAAAAAAAAuAgAAZHJzL2Uyb0RvYy54bWxQ&#10;SwECLQAUAAYACAAAACEAiYx3etoAAAADAQAADwAAAAAAAAAAAAAAAADwBAAAZHJzL2Rvd25yZXYu&#10;eG1sUEsFBgAAAAAEAAQA8wAAAPcFAAAAAA==&#10;" fillcolor="#7030a0" stroked="f" strokeweight="1pt">
                <w10:anchorlock/>
              </v:rect>
            </w:pict>
          </mc:Fallback>
        </mc:AlternateContent>
      </w:r>
      <w:r>
        <w:t xml:space="preserve"> </w:t>
      </w:r>
      <w:r w:rsidR="00F613DF">
        <w:t xml:space="preserve">SEVEN: </w:t>
      </w:r>
      <w:r w:rsidR="00F613DF">
        <w:t xml:space="preserve">IMPORTANT DATES TO BE RECORDED </w:t>
      </w:r>
    </w:p>
    <w:p w14:paraId="40B40198" w14:textId="77777777" w:rsidR="00F613DF" w:rsidRDefault="00F613DF" w:rsidP="00F613DF">
      <w:r>
        <w:t>We need to record the following dates:</w:t>
      </w:r>
    </w:p>
    <w:p w14:paraId="23ABC71F" w14:textId="77777777" w:rsidR="00F613DF" w:rsidRDefault="00F613DF" w:rsidP="00F613DF">
      <w:pPr>
        <w:pStyle w:val="ListParagraph"/>
        <w:numPr>
          <w:ilvl w:val="0"/>
          <w:numId w:val="7"/>
        </w:numPr>
      </w:pPr>
      <w:r>
        <w:t>Date we became aware of the carer and the terminal illness diagnosis</w:t>
      </w:r>
    </w:p>
    <w:p w14:paraId="2367FF47" w14:textId="77777777" w:rsidR="00F613DF" w:rsidRDefault="00F613DF" w:rsidP="00F613DF">
      <w:pPr>
        <w:pStyle w:val="ListParagraph"/>
        <w:numPr>
          <w:ilvl w:val="0"/>
          <w:numId w:val="7"/>
        </w:numPr>
      </w:pPr>
      <w:r>
        <w:t>Date carer accepts offer to do ACSP /YCS</w:t>
      </w:r>
    </w:p>
    <w:p w14:paraId="68EAB54D" w14:textId="77777777" w:rsidR="00F613DF" w:rsidRDefault="00F613DF" w:rsidP="00F613DF">
      <w:pPr>
        <w:pStyle w:val="ListParagraph"/>
        <w:numPr>
          <w:ilvl w:val="0"/>
          <w:numId w:val="7"/>
        </w:numPr>
      </w:pPr>
      <w:r>
        <w:t>Date of the substantive conversation.</w:t>
      </w:r>
    </w:p>
    <w:p w14:paraId="444D594C" w14:textId="04EDB179" w:rsidR="00F613DF" w:rsidRDefault="00F613DF" w:rsidP="00F613DF">
      <w:pPr>
        <w:pStyle w:val="ListParagraph"/>
        <w:numPr>
          <w:ilvl w:val="0"/>
          <w:numId w:val="7"/>
        </w:numPr>
      </w:pPr>
      <w:r>
        <w:t>Date ACSP/ YCS was completed.</w:t>
      </w:r>
    </w:p>
    <w:p w14:paraId="7DC73711" w14:textId="34095CAE" w:rsidR="00635D7F" w:rsidRPr="00635D7F" w:rsidRDefault="00635D7F" w:rsidP="00635D7F">
      <w:pPr>
        <w:pStyle w:val="Heading3"/>
      </w:pPr>
      <w:r>
        <w:lastRenderedPageBreak/>
        <mc:AlternateContent>
          <mc:Choice Requires="wps">
            <w:drawing>
              <wp:inline distT="0" distB="0" distL="0" distR="0" wp14:anchorId="412FD763" wp14:editId="3754F8F1">
                <wp:extent cx="6810375" cy="2876550"/>
                <wp:effectExtent l="0" t="0" r="9525" b="0"/>
                <wp:docPr id="16" name="Text Box 2" descr="EXAMPLE: LIVING WELL FALKIRK PILOT&#10;&#10;During the Partnership’s pilot of the Living Well Falkirk Advice Hub, an online service accessed by video call, joint branding was developed which indicated the Partnership’s ‘ownership’ and included the project’s partners. Pictured, right: branding included the Partnerships colour logo and font, alongside mono-colour versions of partner logo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876550"/>
                        </a:xfrm>
                        <a:prstGeom prst="rect">
                          <a:avLst/>
                        </a:prstGeom>
                        <a:solidFill>
                          <a:srgbClr val="FCF2EE"/>
                        </a:solidFill>
                        <a:ln w="9525">
                          <a:noFill/>
                          <a:miter lim="800000"/>
                          <a:headEnd/>
                          <a:tailEnd/>
                        </a:ln>
                      </wps:spPr>
                      <wps:txbx>
                        <w:txbxContent>
                          <w:p w14:paraId="7CBE2705" w14:textId="24979B41" w:rsidR="00635D7F" w:rsidRPr="00363D28" w:rsidRDefault="00635D7F" w:rsidP="00635D7F">
                            <w:r>
                              <w:t>NOTES</w:t>
                            </w:r>
                          </w:p>
                          <w:p w14:paraId="6C6D2BED" w14:textId="77777777" w:rsidR="00635D7F" w:rsidRDefault="00635D7F" w:rsidP="00635D7F">
                            <w:r w:rsidRPr="00F613DF">
                              <w:t>To refer carers to the Carers Centre for ACSP to be completed please call 01324 611510 or email centre@centralcarers.co.uk</w:t>
                            </w:r>
                          </w:p>
                          <w:p w14:paraId="333B16CA" w14:textId="77777777" w:rsidR="00635D7F" w:rsidRPr="00F613DF" w:rsidRDefault="00635D7F" w:rsidP="00635D7F"/>
                          <w:p w14:paraId="7CE6083D" w14:textId="77777777" w:rsidR="00635D7F" w:rsidRDefault="00635D7F" w:rsidP="00635D7F">
                            <w:r w:rsidRPr="00635D7F">
                              <w:rPr>
                                <w:rStyle w:val="Strong"/>
                              </w:rPr>
                              <w:t>*</w:t>
                            </w:r>
                            <w:r>
                              <w:t>For the purposes of these Regulations a terminally ill person is someone who “suffers from a progressive disease and death in consequence of that disease can reasonably be expected within 6 months” (Section 7 (2) of the Carers (Scotland) Act 2018).</w:t>
                            </w:r>
                          </w:p>
                          <w:p w14:paraId="1FD70998" w14:textId="77777777" w:rsidR="00635D7F" w:rsidRDefault="00635D7F" w:rsidP="00635D7F"/>
                          <w:p w14:paraId="1797C265" w14:textId="75D3B636" w:rsidR="00635D7F" w:rsidRDefault="00635D7F" w:rsidP="00635D7F">
                            <w:r w:rsidRPr="00635D7F">
                              <w:rPr>
                                <w:rStyle w:val="Strong"/>
                              </w:rPr>
                              <w:t>**</w:t>
                            </w:r>
                            <w:r>
                              <w:t>Outlined in the Statutory Guidance 2.1.96 and within the Directions issued to local authorities.</w:t>
                            </w:r>
                          </w:p>
                          <w:p w14:paraId="1E77185D" w14:textId="77777777" w:rsidR="00635D7F" w:rsidRDefault="00635D7F" w:rsidP="00635D7F"/>
                        </w:txbxContent>
                      </wps:txbx>
                      <wps:bodyPr rot="0" vert="horz" wrap="square" lIns="360000" tIns="360000" rIns="360000" bIns="360000" anchor="t" anchorCtr="0">
                        <a:noAutofit/>
                      </wps:bodyPr>
                    </wps:wsp>
                  </a:graphicData>
                </a:graphic>
              </wp:inline>
            </w:drawing>
          </mc:Choice>
          <mc:Fallback>
            <w:pict>
              <v:shapetype w14:anchorId="412FD763" id="_x0000_t202" coordsize="21600,21600" o:spt="202" path="m,l,21600r21600,l21600,xe">
                <v:stroke joinstyle="miter"/>
                <v:path gradientshapeok="t" o:connecttype="rect"/>
              </v:shapetype>
              <v:shape id="Text Box 2" o:spid="_x0000_s1026" type="#_x0000_t202" alt="EXAMPLE: LIVING WELL FALKIRK PILOT&#10;&#10;During the Partnership’s pilot of the Living Well Falkirk Advice Hub, an online service accessed by video call, joint branding was developed which indicated the Partnership’s ‘ownership’ and included the project’s partners. Pictured, right: branding included the Partnerships colour logo and font, alongside mono-colour versions of partner logos.&#10;" style="width:536.2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SXGAMAAL8FAAAOAAAAZHJzL2Uyb0RvYy54bWysVM1y2zYQvmem77CDzuTkiLIyUhzGdEa1&#10;JVcTJtEkbtMrCIAkYhDLAJAo95THSF4vT5IFpPgn7alTHjBYYvfb3W9/Tl/uOgNb5bxGW7Dj0ZiB&#10;sgKltk3B/rhaPjlh4AO3khu0qmA3yrOXZ788Oh36XE2wRSOVAwKxPh/6grUh9HmWedGqjvsR9srS&#10;Y42u44FE12TS8YHQO5NNxuNZNqCTvUOhvKe/F/tHdpbw61qJ8LauvQpgCkaxhXS6dFbxzM5Oed44&#10;3rdaHMLg/yGKjmtLTm+hLnjgsHH6H1CdFg491mEksMuwrrVQKQfK5nj8UzbvW96rlAuR4/tbmvz/&#10;ByvebNcOtKTazRhY3lGNrtQuwG+4gwkDqbwguhZ/zV+vy0UO5erP1ZtL+LAoS1jOy1erd69gvSrf&#10;Xj3+dTd/kY4Lyts2EFoFa+6CpeZodf/t81cPvTYYAOv0WOpt1PugjIElN9faXcNcbokQ+H1THQG3&#10;gNZoq8Arl35zEcusJFQ3sNVSIQhuzBF8RG0DVI7aLCIO3FPcW2WoeyQMVNkWND0JHkj+t7i+ff6C&#10;w12g5FqShTAbeTCgDvtIvbRP4pDUCNZahI1T8gicbtqQ34XwwPgeCx4EGtw4MNhgclOjDZQrTUfj&#10;KSXo0OKTg9JhrnxkrN97TYZ+lIiOzTv0Pqcavu+pimFHRaNCpkb0fYni2oPF85bbRs2dw6FVXFLz&#10;HEfL7J7pHsdHkGp4jZKagG8CJqBd7brY2dSrQOg0RDe3gxMbRdDP2cnx+OmzKQNBb5OTZ7PpNI1W&#10;xvMf5r3z4VJhB/FSMEdsJni+LX2I4fD8h0r05tFoudTGJME11blxsOU0xcvz5WSxSBn8pGYsDAV7&#10;Pp1ME7LFaJ8GvNOBtozRXcFOxvHbz32kY2FlUglcm/2dIjH2wE+kZE9O2FU7UoykVShviCmH+21C&#10;VaJLi+5vBgNtkoL5TxvuFAOzssT201nyCOGB5B5I1QOJW0FwBQuMWiRez0NaWZELi3OqTK0TZ3fR&#10;HOKlLZGoPGy0uIbuy0nrbu+efQcAAP//AwBQSwMEFAAGAAgAAAAhANX87YXcAAAABgEAAA8AAABk&#10;cnMvZG93bnJldi54bWxMj0FLw0AQhe+C/2EZwYu0u7ZWJWZTiiAI4qHR9rzJTpNgdjZkp9v47916&#10;0cvA4z3e+yZfT64XEcfQedJwO1cgkGpvO2o0fH68zB5BBDZkTe8JNXxjgHVxeZGbzPoTbTGW3IhU&#10;QiEzGlrmIZMy1C06E+Z+QErewY/OcJJjI+1oTqnc9XKh1L10pqO00JoBn1usv8qj07Av3b7iofOv&#10;ddwsd28RD+/xRuvrq2nzBIJx4r8wnPETOhSJqfJHskH0GtIj/HvPnnpYrEBUGu5WSwWyyOV//OIH&#10;AAD//wMAUEsBAi0AFAAGAAgAAAAhALaDOJL+AAAA4QEAABMAAAAAAAAAAAAAAAAAAAAAAFtDb250&#10;ZW50X1R5cGVzXS54bWxQSwECLQAUAAYACAAAACEAOP0h/9YAAACUAQAACwAAAAAAAAAAAAAAAAAv&#10;AQAAX3JlbHMvLnJlbHNQSwECLQAUAAYACAAAACEAa+6ElxgDAAC/BQAADgAAAAAAAAAAAAAAAAAu&#10;AgAAZHJzL2Uyb0RvYy54bWxQSwECLQAUAAYACAAAACEA1fzthdwAAAAGAQAADwAAAAAAAAAAAAAA&#10;AAByBQAAZHJzL2Rvd25yZXYueG1sUEsFBgAAAAAEAAQA8wAAAHsGAAAAAA==&#10;" fillcolor="#fcf2ee" stroked="f">
                <v:textbox inset="10mm,10mm,10mm,10mm">
                  <w:txbxContent>
                    <w:p w14:paraId="7CBE2705" w14:textId="24979B41" w:rsidR="00635D7F" w:rsidRPr="00363D28" w:rsidRDefault="00635D7F" w:rsidP="00635D7F">
                      <w:r>
                        <w:t>NOTES</w:t>
                      </w:r>
                    </w:p>
                    <w:p w14:paraId="6C6D2BED" w14:textId="77777777" w:rsidR="00635D7F" w:rsidRDefault="00635D7F" w:rsidP="00635D7F">
                      <w:r w:rsidRPr="00F613DF">
                        <w:t>To refer carers to the Carers Centre for ACSP to be completed please call 01324 611510 or email centre@centralcarers.co.uk</w:t>
                      </w:r>
                    </w:p>
                    <w:p w14:paraId="333B16CA" w14:textId="77777777" w:rsidR="00635D7F" w:rsidRPr="00F613DF" w:rsidRDefault="00635D7F" w:rsidP="00635D7F"/>
                    <w:p w14:paraId="7CE6083D" w14:textId="77777777" w:rsidR="00635D7F" w:rsidRDefault="00635D7F" w:rsidP="00635D7F">
                      <w:r w:rsidRPr="00635D7F">
                        <w:rPr>
                          <w:rStyle w:val="Strong"/>
                        </w:rPr>
                        <w:t>*</w:t>
                      </w:r>
                      <w:r>
                        <w:t>For the purposes of these Regulations a terminally ill person is someone who “suffers from a progressive disease and death in consequence of that disease can reasonably be expected within 6 months” (Section 7 (2) of the Carers (Scotland) Act 2018).</w:t>
                      </w:r>
                    </w:p>
                    <w:p w14:paraId="1FD70998" w14:textId="77777777" w:rsidR="00635D7F" w:rsidRDefault="00635D7F" w:rsidP="00635D7F"/>
                    <w:p w14:paraId="1797C265" w14:textId="75D3B636" w:rsidR="00635D7F" w:rsidRDefault="00635D7F" w:rsidP="00635D7F">
                      <w:r w:rsidRPr="00635D7F">
                        <w:rPr>
                          <w:rStyle w:val="Strong"/>
                        </w:rPr>
                        <w:t>**</w:t>
                      </w:r>
                      <w:r>
                        <w:t>Outlined in the Statutory Guidance 2.1.96 and within the Directions issued to local authorities.</w:t>
                      </w:r>
                    </w:p>
                    <w:p w14:paraId="1E77185D" w14:textId="77777777" w:rsidR="00635D7F" w:rsidRDefault="00635D7F" w:rsidP="00635D7F"/>
                  </w:txbxContent>
                </v:textbox>
                <w10:anchorlock/>
              </v:shape>
            </w:pict>
          </mc:Fallback>
        </mc:AlternateContent>
      </w:r>
    </w:p>
    <w:p w14:paraId="7572FCE0" w14:textId="30019E7A" w:rsidR="006F35A8" w:rsidRDefault="006F35A8" w:rsidP="006F35A8">
      <w:pPr>
        <w:rPr>
          <w:caps/>
          <w:sz w:val="28"/>
          <w:szCs w:val="28"/>
        </w:rPr>
      </w:pPr>
    </w:p>
    <w:sectPr w:rsidR="006F35A8" w:rsidSect="00635D7F">
      <w:headerReference w:type="default" r:id="rId11"/>
      <w:pgSz w:w="11906" w:h="16838"/>
      <w:pgMar w:top="775" w:right="720" w:bottom="720" w:left="720"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BA7B" w14:textId="77777777" w:rsidR="004223BF" w:rsidRDefault="004223BF" w:rsidP="004223BF">
      <w:r>
        <w:separator/>
      </w:r>
    </w:p>
  </w:endnote>
  <w:endnote w:type="continuationSeparator" w:id="0">
    <w:p w14:paraId="623F0887" w14:textId="77777777" w:rsidR="004223BF" w:rsidRDefault="004223BF" w:rsidP="004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D4C6" w14:textId="77777777" w:rsidR="004223BF" w:rsidRDefault="004223BF" w:rsidP="004223BF">
      <w:r>
        <w:separator/>
      </w:r>
    </w:p>
  </w:footnote>
  <w:footnote w:type="continuationSeparator" w:id="0">
    <w:p w14:paraId="46FDE2F0" w14:textId="77777777" w:rsidR="004223BF" w:rsidRDefault="004223BF" w:rsidP="0042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4607" w14:textId="20672B06" w:rsidR="006F35A8" w:rsidRDefault="006F35A8" w:rsidP="00F613D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D6D"/>
    <w:multiLevelType w:val="hybridMultilevel"/>
    <w:tmpl w:val="436E518C"/>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51A05"/>
    <w:multiLevelType w:val="hybridMultilevel"/>
    <w:tmpl w:val="DC0EC7B8"/>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2FE3"/>
    <w:multiLevelType w:val="hybridMultilevel"/>
    <w:tmpl w:val="8D2AE924"/>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115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665FE7"/>
    <w:multiLevelType w:val="hybridMultilevel"/>
    <w:tmpl w:val="7E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5465"/>
    <w:multiLevelType w:val="hybridMultilevel"/>
    <w:tmpl w:val="3410AF4E"/>
    <w:lvl w:ilvl="0" w:tplc="ED207A7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D30EF"/>
    <w:multiLevelType w:val="hybridMultilevel"/>
    <w:tmpl w:val="FBC8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450633"/>
    <w:multiLevelType w:val="hybridMultilevel"/>
    <w:tmpl w:val="30D0273E"/>
    <w:lvl w:ilvl="0" w:tplc="67F6E7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A651F"/>
    <w:multiLevelType w:val="hybridMultilevel"/>
    <w:tmpl w:val="454498D4"/>
    <w:lvl w:ilvl="0" w:tplc="7C4A9314">
      <w:start w:val="1"/>
      <w:numFmt w:val="bullet"/>
      <w:pStyle w:val="SubtitleChar"/>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43"/>
    <w:rsid w:val="00137266"/>
    <w:rsid w:val="00157BDA"/>
    <w:rsid w:val="00217843"/>
    <w:rsid w:val="00251A43"/>
    <w:rsid w:val="00291054"/>
    <w:rsid w:val="002B36F7"/>
    <w:rsid w:val="002C14C1"/>
    <w:rsid w:val="004223BF"/>
    <w:rsid w:val="005E60F3"/>
    <w:rsid w:val="00635D7F"/>
    <w:rsid w:val="0064605A"/>
    <w:rsid w:val="006F35A8"/>
    <w:rsid w:val="007510E5"/>
    <w:rsid w:val="008E0AEC"/>
    <w:rsid w:val="009D530C"/>
    <w:rsid w:val="00B72D13"/>
    <w:rsid w:val="00BA23EB"/>
    <w:rsid w:val="00BF337F"/>
    <w:rsid w:val="00C079B5"/>
    <w:rsid w:val="00CC3214"/>
    <w:rsid w:val="00CE1596"/>
    <w:rsid w:val="00F61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B6954"/>
  <w15:chartTrackingRefBased/>
  <w15:docId w15:val="{EAD4364E-04AA-4A8C-AAB7-3F0BBC18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A8"/>
    <w:pPr>
      <w:spacing w:after="0" w:line="240" w:lineRule="auto"/>
    </w:pPr>
    <w:rPr>
      <w:rFonts w:ascii="Montserrat" w:eastAsia="Calibri" w:hAnsi="Montserrat" w:cs="Arial"/>
      <w:color w:val="262626"/>
      <w:sz w:val="24"/>
      <w:szCs w:val="20"/>
    </w:rPr>
  </w:style>
  <w:style w:type="paragraph" w:styleId="Heading1">
    <w:name w:val="heading 1"/>
    <w:basedOn w:val="Normal"/>
    <w:next w:val="Normal"/>
    <w:link w:val="Heading1Char"/>
    <w:uiPriority w:val="9"/>
    <w:qFormat/>
    <w:rsid w:val="00F613DF"/>
    <w:pPr>
      <w:spacing w:before="240"/>
      <w:outlineLvl w:val="0"/>
    </w:pPr>
    <w:rPr>
      <w:rFonts w:ascii="Montserrat SemiBold" w:hAnsi="Montserrat SemiBold"/>
      <w:caps/>
      <w:sz w:val="28"/>
      <w:szCs w:val="28"/>
    </w:rPr>
  </w:style>
  <w:style w:type="paragraph" w:styleId="Heading2">
    <w:name w:val="heading 2"/>
    <w:basedOn w:val="Normal"/>
    <w:next w:val="Normal"/>
    <w:link w:val="Heading2Char"/>
    <w:uiPriority w:val="9"/>
    <w:unhideWhenUsed/>
    <w:qFormat/>
    <w:rsid w:val="00251A43"/>
    <w:pPr>
      <w:spacing w:before="120"/>
      <w:outlineLvl w:val="1"/>
    </w:pPr>
    <w:rPr>
      <w:rFonts w:ascii="Montserrat SemiBold" w:hAnsi="Montserrat SemiBold" w:cs="Calibri Light"/>
      <w:caps/>
      <w:noProof/>
      <w:spacing w:val="48"/>
      <w:szCs w:val="28"/>
    </w:rPr>
  </w:style>
  <w:style w:type="paragraph" w:styleId="Heading3">
    <w:name w:val="heading 3"/>
    <w:basedOn w:val="Normal"/>
    <w:next w:val="Normal"/>
    <w:link w:val="Heading3Char"/>
    <w:uiPriority w:val="9"/>
    <w:unhideWhenUsed/>
    <w:qFormat/>
    <w:rsid w:val="004223BF"/>
    <w:pPr>
      <w:spacing w:before="120"/>
      <w:outlineLvl w:val="2"/>
    </w:pPr>
    <w:rPr>
      <w:rFonts w:cs="Calibri Light"/>
      <w:caps/>
      <w:noProof/>
      <w:color w:val="545454"/>
      <w:spacing w:val="48"/>
      <w:szCs w:val="28"/>
    </w:rPr>
  </w:style>
  <w:style w:type="paragraph" w:styleId="Heading4">
    <w:name w:val="heading 4"/>
    <w:basedOn w:val="Heading1"/>
    <w:next w:val="Normal"/>
    <w:link w:val="Heading4Char"/>
    <w:uiPriority w:val="9"/>
    <w:unhideWhenUsed/>
    <w:qFormat/>
    <w:rsid w:val="00157BDA"/>
    <w:pPr>
      <w:outlineLvl w:val="3"/>
    </w:pPr>
  </w:style>
  <w:style w:type="paragraph" w:styleId="Heading5">
    <w:name w:val="heading 5"/>
    <w:basedOn w:val="Heading3"/>
    <w:next w:val="Normal"/>
    <w:link w:val="Heading5Char"/>
    <w:uiPriority w:val="9"/>
    <w:unhideWhenUsed/>
    <w:rsid w:val="00157BDA"/>
    <w:p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F613DF"/>
    <w:rPr>
      <w:rFonts w:ascii="Montserrat SemiBold" w:eastAsia="Calibri" w:hAnsi="Montserrat SemiBold" w:cs="Arial"/>
      <w:caps/>
      <w:color w:val="262626"/>
      <w:sz w:val="28"/>
      <w:szCs w:val="28"/>
    </w:rPr>
  </w:style>
  <w:style w:type="character" w:customStyle="1" w:styleId="Heading2Char">
    <w:name w:val="Heading 2 Char"/>
    <w:basedOn w:val="DefaultParagraphFont"/>
    <w:link w:val="Heading2"/>
    <w:uiPriority w:val="9"/>
    <w:rsid w:val="00251A43"/>
    <w:rPr>
      <w:rFonts w:ascii="Montserrat SemiBold" w:eastAsia="Calibri" w:hAnsi="Montserrat SemiBold" w:cs="Calibri Light"/>
      <w:caps/>
      <w:noProof/>
      <w:color w:val="262626"/>
      <w:spacing w:val="48"/>
      <w:sz w:val="24"/>
      <w:szCs w:val="28"/>
    </w:rPr>
  </w:style>
  <w:style w:type="character" w:customStyle="1" w:styleId="Heading3Char">
    <w:name w:val="Heading 3 Char"/>
    <w:basedOn w:val="DefaultParagraphFont"/>
    <w:link w:val="Heading3"/>
    <w:uiPriority w:val="9"/>
    <w:rsid w:val="004223BF"/>
    <w:rPr>
      <w:rFonts w:ascii="Montserrat" w:eastAsia="Calibri" w:hAnsi="Montserrat" w:cs="Calibri Light"/>
      <w:caps/>
      <w:noProof/>
      <w:color w:val="545454"/>
      <w:spacing w:val="48"/>
      <w:sz w:val="24"/>
      <w:szCs w:val="28"/>
    </w:rPr>
  </w:style>
  <w:style w:type="character" w:customStyle="1" w:styleId="Heading4Char">
    <w:name w:val="Heading 4 Char"/>
    <w:basedOn w:val="DefaultParagraphFont"/>
    <w:link w:val="Heading4"/>
    <w:uiPriority w:val="9"/>
    <w:rsid w:val="00157BDA"/>
    <w:rPr>
      <w:rFonts w:eastAsiaTheme="majorEastAsia" w:cstheme="minorHAnsi"/>
      <w:b/>
      <w:bCs/>
      <w:color w:val="0096D2"/>
      <w:sz w:val="32"/>
      <w:szCs w:val="3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4223BF"/>
    <w:rPr>
      <w:rFonts w:ascii="Montserrat SemiBold" w:hAnsi="Montserrat SemiBold"/>
      <w:color w:val="545454"/>
      <w:sz w:val="72"/>
      <w:szCs w:val="72"/>
    </w:rPr>
  </w:style>
  <w:style w:type="character" w:customStyle="1" w:styleId="TitleChar">
    <w:name w:val="Title Char"/>
    <w:basedOn w:val="DefaultParagraphFont"/>
    <w:link w:val="Title"/>
    <w:uiPriority w:val="10"/>
    <w:rsid w:val="004223BF"/>
    <w:rPr>
      <w:rFonts w:ascii="Montserrat SemiBold" w:eastAsia="Calibri" w:hAnsi="Montserrat SemiBold" w:cs="Arial"/>
      <w:color w:val="545454"/>
      <w:sz w:val="72"/>
      <w:szCs w:val="72"/>
    </w:rPr>
  </w:style>
  <w:style w:type="paragraph" w:styleId="Subtitle">
    <w:name w:val="Subtitle"/>
    <w:basedOn w:val="Normal"/>
    <w:next w:val="Normal"/>
    <w:link w:val="SubtitleChar"/>
    <w:uiPriority w:val="11"/>
    <w:qFormat/>
    <w:rsid w:val="004223BF"/>
    <w:rPr>
      <w:caps/>
      <w:sz w:val="36"/>
      <w:szCs w:val="36"/>
    </w:rPr>
  </w:style>
  <w:style w:type="character" w:customStyle="1" w:styleId="SubtitleChar">
    <w:name w:val="Subtitle Char"/>
    <w:basedOn w:val="DefaultParagraphFont"/>
    <w:link w:val="Subtitle"/>
    <w:uiPriority w:val="11"/>
    <w:rsid w:val="004223BF"/>
    <w:rPr>
      <w:rFonts w:ascii="Montserrat Light" w:eastAsia="Calibri" w:hAnsi="Montserrat Light" w:cs="Arial"/>
      <w:caps/>
      <w:color w:val="262626"/>
      <w:sz w:val="36"/>
      <w:szCs w:val="36"/>
    </w:rPr>
  </w:style>
  <w:style w:type="character" w:styleId="Strong">
    <w:name w:val="Strong"/>
    <w:uiPriority w:val="22"/>
    <w:qFormat/>
    <w:rsid w:val="004223BF"/>
    <w:rPr>
      <w:rFonts w:ascii="Montserrat SemiBold" w:hAnsi="Montserrat SemiBold"/>
    </w:rPr>
  </w:style>
  <w:style w:type="paragraph" w:styleId="ListParagraph">
    <w:name w:val="List Paragraph"/>
    <w:basedOn w:val="Normal"/>
    <w:uiPriority w:val="34"/>
    <w:qFormat/>
    <w:rsid w:val="006F35A8"/>
    <w:pPr>
      <w:numPr>
        <w:numId w:val="1"/>
      </w:numPr>
      <w:contextualSpacing/>
    </w:pPr>
  </w:style>
  <w:style w:type="paragraph" w:styleId="Quote">
    <w:name w:val="Quote"/>
    <w:basedOn w:val="Heading4"/>
    <w:next w:val="Normal"/>
    <w:link w:val="QuoteChar"/>
    <w:uiPriority w:val="29"/>
    <w:qFormat/>
    <w:rsid w:val="004223BF"/>
    <w:pPr>
      <w:spacing w:before="0"/>
    </w:pPr>
    <w:rPr>
      <w:rFonts w:ascii="Montserrat Light" w:hAnsi="Montserrat Light"/>
      <w:caps w:val="0"/>
      <w:noProof/>
      <w:color w:val="002060"/>
      <w:sz w:val="52"/>
      <w:szCs w:val="72"/>
    </w:rPr>
  </w:style>
  <w:style w:type="character" w:customStyle="1" w:styleId="QuoteChar">
    <w:name w:val="Quote Char"/>
    <w:basedOn w:val="DefaultParagraphFont"/>
    <w:link w:val="Quote"/>
    <w:uiPriority w:val="29"/>
    <w:rsid w:val="004223BF"/>
    <w:rPr>
      <w:rFonts w:ascii="Montserrat Light" w:eastAsia="Calibri" w:hAnsi="Montserrat Light" w:cs="Arial"/>
      <w:noProof/>
      <w:color w:val="002060"/>
      <w:sz w:val="52"/>
      <w:szCs w:val="72"/>
    </w:rPr>
  </w:style>
  <w:style w:type="character" w:styleId="Hyperlink">
    <w:name w:val="Hyperlink"/>
    <w:basedOn w:val="DefaultParagraphFont"/>
    <w:uiPriority w:val="99"/>
    <w:unhideWhenUsed/>
    <w:rsid w:val="00CC3214"/>
    <w:rPr>
      <w:color w:val="0563C1" w:themeColor="hyperlink"/>
      <w:u w:val="single"/>
    </w:rPr>
  </w:style>
  <w:style w:type="character" w:styleId="UnresolvedMention">
    <w:name w:val="Unresolved Mention"/>
    <w:basedOn w:val="DefaultParagraphFont"/>
    <w:uiPriority w:val="99"/>
    <w:semiHidden/>
    <w:unhideWhenUsed/>
    <w:rsid w:val="00CC3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cot/isbn/9781802011722" TargetMode="External"/><Relationship Id="rId4" Type="http://schemas.openxmlformats.org/officeDocument/2006/relationships/settings" Target="settings.xml"/><Relationship Id="rId9" Type="http://schemas.openxmlformats.org/officeDocument/2006/relationships/hyperlink" Target="https://www.legislation.gov.uk/ssi/2021/133/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F2B6-9296-431A-86E1-D82F1797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EPIA Process Summary</vt:lpstr>
      <vt:lpstr>/</vt:lpstr>
      <vt:lpstr>    / one: BACKGROUND</vt:lpstr>
      <vt:lpstr>    / TWO: TIMESCALES</vt:lpstr>
      <vt:lpstr>    / THREE: NOTIFICATION DATE</vt:lpstr>
      <vt:lpstr>    / FOUR: SUBSTANTIVE CONVERSATION</vt:lpstr>
      <vt:lpstr>    / FIVE: TIMESCALE FOR COMPLETION &amp; CARER CHOICE</vt:lpstr>
      <vt:lpstr>    / SIX: ACSP/ YCS</vt:lpstr>
      <vt:lpstr>    / SEVEN: IMPORTANT DATES TO BE RECORDED </vt:lpstr>
      <vt: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EPIA Process Summary</dc:title>
  <dc:subject/>
  <dc:creator>Paul Surgenor</dc:creator>
  <cp:keywords/>
  <dc:description/>
  <cp:lastModifiedBy>Paul Surgenor</cp:lastModifiedBy>
  <cp:revision>2</cp:revision>
  <dcterms:created xsi:type="dcterms:W3CDTF">2022-04-22T15:32:00Z</dcterms:created>
  <dcterms:modified xsi:type="dcterms:W3CDTF">2022-04-22T15:32:00Z</dcterms:modified>
</cp:coreProperties>
</file>